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D2C" w:rsidRDefault="00781329" w:rsidP="00706C6C">
      <w:pPr>
        <w:spacing w:line="240" w:lineRule="auto"/>
        <w:jc w:val="center"/>
      </w:pPr>
      <w:r>
        <w:rPr>
          <w:b/>
        </w:rPr>
        <w:t>ESCUELA</w:t>
      </w:r>
      <w:r w:rsidR="00706C6C">
        <w:rPr>
          <w:b/>
        </w:rPr>
        <w:t xml:space="preserve"> DE IDIOMAS</w:t>
      </w:r>
    </w:p>
    <w:p w:rsidR="00EC0D2C" w:rsidRDefault="00781329" w:rsidP="00706C6C">
      <w:pPr>
        <w:spacing w:line="240" w:lineRule="auto"/>
        <w:jc w:val="center"/>
      </w:pPr>
      <w:r>
        <w:rPr>
          <w:b/>
        </w:rPr>
        <w:t>CO</w:t>
      </w:r>
      <w:r w:rsidR="00706C6C">
        <w:rPr>
          <w:b/>
        </w:rPr>
        <w:t>MITÉ DE CARRERA</w:t>
      </w:r>
      <w:r>
        <w:rPr>
          <w:b/>
        </w:rPr>
        <w:t xml:space="preserve"> DE </w:t>
      </w:r>
      <w:r w:rsidR="00706C6C">
        <w:rPr>
          <w:b/>
        </w:rPr>
        <w:t>LICENCIATURA EN LENGUAS EXTRANJERAS</w:t>
      </w:r>
    </w:p>
    <w:p w:rsidR="00EC0D2C" w:rsidRDefault="00EC0D2C" w:rsidP="00706C6C">
      <w:pPr>
        <w:spacing w:line="240" w:lineRule="auto"/>
        <w:jc w:val="center"/>
      </w:pPr>
    </w:p>
    <w:p w:rsidR="00EC0D2C" w:rsidRDefault="00781329" w:rsidP="00706C6C">
      <w:pPr>
        <w:spacing w:line="240" w:lineRule="auto"/>
        <w:jc w:val="center"/>
        <w:rPr>
          <w:b/>
        </w:rPr>
      </w:pPr>
      <w:r>
        <w:rPr>
          <w:b/>
        </w:rPr>
        <w:t xml:space="preserve">ACTA </w:t>
      </w:r>
      <w:r w:rsidR="00F44273">
        <w:rPr>
          <w:b/>
        </w:rPr>
        <w:t>530</w:t>
      </w:r>
      <w:r w:rsidR="0065475C">
        <w:rPr>
          <w:b/>
        </w:rPr>
        <w:t xml:space="preserve"> DE 2018</w:t>
      </w:r>
    </w:p>
    <w:p w:rsidR="00706C6C" w:rsidRDefault="00706C6C" w:rsidP="00706C6C">
      <w:pPr>
        <w:spacing w:line="240" w:lineRule="auto"/>
        <w:jc w:val="center"/>
      </w:pPr>
    </w:p>
    <w:p w:rsidR="00093F2E" w:rsidRDefault="00093F2E" w:rsidP="00706C6C">
      <w:pPr>
        <w:spacing w:line="240" w:lineRule="auto"/>
        <w:jc w:val="center"/>
      </w:pPr>
    </w:p>
    <w:p w:rsidR="00EC0D2C" w:rsidRDefault="00EC0D2C" w:rsidP="00706C6C">
      <w:pPr>
        <w:spacing w:line="240" w:lineRule="auto"/>
      </w:pPr>
    </w:p>
    <w:p w:rsidR="00EC0D2C" w:rsidRDefault="00781329" w:rsidP="00706C6C">
      <w:pPr>
        <w:spacing w:line="240" w:lineRule="auto"/>
      </w:pPr>
      <w:r>
        <w:t>Carácter:</w:t>
      </w:r>
      <w:r>
        <w:tab/>
      </w:r>
      <w:r w:rsidR="00706C6C">
        <w:t>O</w:t>
      </w:r>
      <w:r>
        <w:t>rdinario</w:t>
      </w:r>
    </w:p>
    <w:p w:rsidR="00EC0D2C" w:rsidRDefault="00781329" w:rsidP="00706C6C">
      <w:pPr>
        <w:spacing w:line="240" w:lineRule="auto"/>
      </w:pPr>
      <w:r>
        <w:t xml:space="preserve">Fecha: </w:t>
      </w:r>
      <w:r>
        <w:tab/>
      </w:r>
      <w:r w:rsidR="00F44273">
        <w:t>18 de Septiembre</w:t>
      </w:r>
      <w:r w:rsidR="008B3F20">
        <w:t xml:space="preserve"> de 2018</w:t>
      </w:r>
    </w:p>
    <w:p w:rsidR="00EC0D2C" w:rsidRDefault="00706C6C" w:rsidP="00706C6C">
      <w:pPr>
        <w:spacing w:line="240" w:lineRule="auto"/>
      </w:pPr>
      <w:r>
        <w:t xml:space="preserve">Lugar: </w:t>
      </w:r>
      <w:r>
        <w:tab/>
      </w:r>
      <w:r>
        <w:tab/>
        <w:t xml:space="preserve">Biblioteca Jhon Adams 11-103 </w:t>
      </w:r>
    </w:p>
    <w:p w:rsidR="00EC0D2C" w:rsidRDefault="00781329" w:rsidP="00706C6C">
      <w:pPr>
        <w:spacing w:line="240" w:lineRule="auto"/>
      </w:pPr>
      <w:r>
        <w:t xml:space="preserve">Hora: </w:t>
      </w:r>
      <w:r>
        <w:tab/>
      </w:r>
      <w:r>
        <w:tab/>
      </w:r>
      <w:r w:rsidR="00706C6C">
        <w:t>02</w:t>
      </w:r>
      <w:r>
        <w:t>:00 p.m.</w:t>
      </w:r>
    </w:p>
    <w:p w:rsidR="00EC0D2C" w:rsidRDefault="00EC0D2C" w:rsidP="00706C6C">
      <w:pPr>
        <w:spacing w:line="240" w:lineRule="auto"/>
      </w:pPr>
    </w:p>
    <w:p w:rsidR="00BA0533" w:rsidRDefault="00BA0533" w:rsidP="00706C6C">
      <w:pPr>
        <w:spacing w:line="240" w:lineRule="auto"/>
      </w:pPr>
    </w:p>
    <w:tbl>
      <w:tblPr>
        <w:tblStyle w:val="a"/>
        <w:tblW w:w="5200" w:type="pct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2833"/>
        <w:gridCol w:w="3059"/>
        <w:gridCol w:w="565"/>
        <w:gridCol w:w="569"/>
        <w:gridCol w:w="2551"/>
      </w:tblGrid>
      <w:tr w:rsidR="00706C6C" w:rsidTr="00706C6C">
        <w:trPr>
          <w:trHeight w:val="400"/>
          <w:jc w:val="center"/>
        </w:trPr>
        <w:tc>
          <w:tcPr>
            <w:tcW w:w="147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2EFD9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>ASISTENCIA</w:t>
            </w:r>
          </w:p>
        </w:tc>
        <w:tc>
          <w:tcPr>
            <w:tcW w:w="3521" w:type="pct"/>
            <w:gridSpan w:val="4"/>
            <w:tcBorders>
              <w:top w:val="nil"/>
              <w:left w:val="nil"/>
              <w:bottom w:val="single" w:sz="7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 xml:space="preserve"> </w:t>
            </w:r>
          </w:p>
        </w:tc>
      </w:tr>
      <w:tr w:rsidR="00706C6C" w:rsidTr="00706C6C">
        <w:trPr>
          <w:trHeight w:val="253"/>
          <w:jc w:val="center"/>
        </w:trPr>
        <w:tc>
          <w:tcPr>
            <w:tcW w:w="1479" w:type="pct"/>
            <w:vMerge w:val="restart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2EFD9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>Nombre Convocado</w:t>
            </w:r>
          </w:p>
        </w:tc>
        <w:tc>
          <w:tcPr>
            <w:tcW w:w="1597" w:type="pct"/>
            <w:vMerge w:val="restar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2EFD9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>Cargo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nil"/>
              <w:right w:val="single" w:sz="7" w:space="0" w:color="000000"/>
            </w:tcBorders>
            <w:shd w:val="clear" w:color="auto" w:fill="E2EFD9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>Asistió</w:t>
            </w:r>
          </w:p>
        </w:tc>
        <w:tc>
          <w:tcPr>
            <w:tcW w:w="1332" w:type="pct"/>
            <w:vMerge w:val="restar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2EFD9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>Observación</w:t>
            </w:r>
          </w:p>
        </w:tc>
      </w:tr>
      <w:tr w:rsidR="00706C6C" w:rsidTr="00706C6C">
        <w:trPr>
          <w:trHeight w:val="20"/>
          <w:jc w:val="center"/>
        </w:trPr>
        <w:tc>
          <w:tcPr>
            <w:tcW w:w="1479" w:type="pct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</w:p>
        </w:tc>
        <w:tc>
          <w:tcPr>
            <w:tcW w:w="1597" w:type="pct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6C6C" w:rsidRDefault="00706C6C" w:rsidP="00D5382D">
            <w:pPr>
              <w:widowControl w:val="0"/>
            </w:pPr>
          </w:p>
        </w:tc>
        <w:tc>
          <w:tcPr>
            <w:tcW w:w="295" w:type="pct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297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332" w:type="pct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</w:p>
        </w:tc>
      </w:tr>
      <w:tr w:rsidR="00706C6C" w:rsidTr="00706C6C">
        <w:trPr>
          <w:trHeight w:val="450"/>
          <w:jc w:val="center"/>
        </w:trPr>
        <w:tc>
          <w:tcPr>
            <w:tcW w:w="1479" w:type="pct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Pr="007B27DD" w:rsidRDefault="00706C6C" w:rsidP="00D5382D">
            <w:pPr>
              <w:spacing w:line="240" w:lineRule="auto"/>
            </w:pPr>
            <w:r>
              <w:t>Ana Elsy Díaz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Coordinadora Autoevaluación, docente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F44273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</w:p>
        </w:tc>
        <w:tc>
          <w:tcPr>
            <w:tcW w:w="1332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Pr="00C21FEC" w:rsidRDefault="00706C6C" w:rsidP="001C5492">
            <w:pPr>
              <w:spacing w:line="240" w:lineRule="auto"/>
              <w:rPr>
                <w:sz w:val="20"/>
              </w:rPr>
            </w:pPr>
          </w:p>
        </w:tc>
      </w:tr>
      <w:tr w:rsidR="00706C6C" w:rsidTr="00706C6C">
        <w:trPr>
          <w:trHeight w:val="283"/>
          <w:jc w:val="center"/>
        </w:trPr>
        <w:tc>
          <w:tcPr>
            <w:tcW w:w="1479" w:type="pct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Ana María Sierra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8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Jefe Formación Académica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F44273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</w:p>
        </w:tc>
        <w:tc>
          <w:tcPr>
            <w:tcW w:w="1332" w:type="pct"/>
            <w:tcBorders>
              <w:top w:val="nil"/>
              <w:left w:val="nil"/>
              <w:bottom w:val="single" w:sz="8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Pr="00C21FEC" w:rsidRDefault="00706C6C" w:rsidP="00D5382D">
            <w:pPr>
              <w:spacing w:line="240" w:lineRule="auto"/>
              <w:rPr>
                <w:sz w:val="20"/>
              </w:rPr>
            </w:pPr>
          </w:p>
        </w:tc>
      </w:tr>
      <w:tr w:rsidR="00706C6C" w:rsidTr="00706C6C">
        <w:trPr>
          <w:trHeight w:val="283"/>
          <w:jc w:val="center"/>
        </w:trPr>
        <w:tc>
          <w:tcPr>
            <w:tcW w:w="147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Claudia Díaz</w:t>
            </w:r>
          </w:p>
        </w:tc>
        <w:tc>
          <w:tcPr>
            <w:tcW w:w="159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Docente</w:t>
            </w:r>
          </w:p>
        </w:tc>
        <w:tc>
          <w:tcPr>
            <w:tcW w:w="29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</w:p>
        </w:tc>
        <w:tc>
          <w:tcPr>
            <w:tcW w:w="29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1C5492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33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Pr="008923A4" w:rsidRDefault="00706C6C" w:rsidP="00D5382D">
            <w:pPr>
              <w:spacing w:line="240" w:lineRule="auto"/>
            </w:pPr>
          </w:p>
        </w:tc>
      </w:tr>
      <w:tr w:rsidR="00706C6C" w:rsidTr="00706C6C">
        <w:trPr>
          <w:trHeight w:val="283"/>
          <w:jc w:val="center"/>
        </w:trPr>
        <w:tc>
          <w:tcPr>
            <w:tcW w:w="147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Claudia Gutiérrez</w:t>
            </w:r>
          </w:p>
        </w:tc>
        <w:tc>
          <w:tcPr>
            <w:tcW w:w="159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Docente</w:t>
            </w:r>
          </w:p>
        </w:tc>
        <w:tc>
          <w:tcPr>
            <w:tcW w:w="29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C21FEC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9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</w:p>
        </w:tc>
        <w:tc>
          <w:tcPr>
            <w:tcW w:w="133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Pr="008923A4" w:rsidRDefault="00706C6C" w:rsidP="00D5382D">
            <w:pPr>
              <w:spacing w:line="240" w:lineRule="auto"/>
            </w:pPr>
          </w:p>
        </w:tc>
      </w:tr>
      <w:tr w:rsidR="00706C6C" w:rsidTr="00706C6C">
        <w:trPr>
          <w:trHeight w:val="283"/>
          <w:jc w:val="center"/>
        </w:trPr>
        <w:tc>
          <w:tcPr>
            <w:tcW w:w="147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Doris Colorado</w:t>
            </w:r>
          </w:p>
        </w:tc>
        <w:tc>
          <w:tcPr>
            <w:tcW w:w="159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Docente</w:t>
            </w:r>
          </w:p>
        </w:tc>
        <w:tc>
          <w:tcPr>
            <w:tcW w:w="29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</w:p>
        </w:tc>
        <w:tc>
          <w:tcPr>
            <w:tcW w:w="29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F44273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33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</w:p>
        </w:tc>
      </w:tr>
      <w:tr w:rsidR="00F44273" w:rsidTr="00706C6C">
        <w:trPr>
          <w:trHeight w:val="283"/>
          <w:jc w:val="center"/>
        </w:trPr>
        <w:tc>
          <w:tcPr>
            <w:tcW w:w="147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44273" w:rsidRDefault="00F44273" w:rsidP="00D5382D">
            <w:pPr>
              <w:spacing w:line="240" w:lineRule="auto"/>
            </w:pPr>
            <w:r>
              <w:t>Doris Correa</w:t>
            </w:r>
          </w:p>
        </w:tc>
        <w:tc>
          <w:tcPr>
            <w:tcW w:w="159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44273" w:rsidRDefault="00F44273" w:rsidP="00D5382D">
            <w:pPr>
              <w:spacing w:line="240" w:lineRule="auto"/>
            </w:pPr>
            <w:r>
              <w:t>Docente</w:t>
            </w:r>
          </w:p>
        </w:tc>
        <w:tc>
          <w:tcPr>
            <w:tcW w:w="29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44273" w:rsidRDefault="00F44273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9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44273" w:rsidRDefault="00F44273" w:rsidP="00D5382D">
            <w:pPr>
              <w:spacing w:line="240" w:lineRule="auto"/>
              <w:rPr>
                <w:b/>
              </w:rPr>
            </w:pPr>
          </w:p>
        </w:tc>
        <w:tc>
          <w:tcPr>
            <w:tcW w:w="133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44273" w:rsidRDefault="00F44273" w:rsidP="00D5382D">
            <w:pPr>
              <w:spacing w:line="240" w:lineRule="auto"/>
              <w:rPr>
                <w:b/>
              </w:rPr>
            </w:pPr>
          </w:p>
        </w:tc>
      </w:tr>
      <w:tr w:rsidR="00706C6C" w:rsidTr="00706C6C">
        <w:trPr>
          <w:trHeight w:val="283"/>
          <w:jc w:val="center"/>
        </w:trPr>
        <w:tc>
          <w:tcPr>
            <w:tcW w:w="147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Iván Darío Flórez</w:t>
            </w:r>
          </w:p>
        </w:tc>
        <w:tc>
          <w:tcPr>
            <w:tcW w:w="159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Docente</w:t>
            </w:r>
          </w:p>
        </w:tc>
        <w:tc>
          <w:tcPr>
            <w:tcW w:w="29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</w:p>
        </w:tc>
        <w:tc>
          <w:tcPr>
            <w:tcW w:w="29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F44273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33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Pr="00BA0533" w:rsidRDefault="00706C6C" w:rsidP="00D5382D">
            <w:pPr>
              <w:spacing w:line="240" w:lineRule="auto"/>
              <w:rPr>
                <w:sz w:val="20"/>
              </w:rPr>
            </w:pPr>
          </w:p>
        </w:tc>
      </w:tr>
      <w:tr w:rsidR="00706C6C" w:rsidTr="00706C6C">
        <w:trPr>
          <w:trHeight w:val="448"/>
          <w:jc w:val="center"/>
        </w:trPr>
        <w:tc>
          <w:tcPr>
            <w:tcW w:w="147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 xml:space="preserve">Juan </w:t>
            </w:r>
            <w:r w:rsidR="00C41B05">
              <w:t>Rodrigo</w:t>
            </w:r>
            <w:r>
              <w:t xml:space="preserve"> Bedoya</w:t>
            </w:r>
          </w:p>
        </w:tc>
        <w:tc>
          <w:tcPr>
            <w:tcW w:w="159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Coordinador Reforma Curricular, docente</w:t>
            </w:r>
          </w:p>
        </w:tc>
        <w:tc>
          <w:tcPr>
            <w:tcW w:w="29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F44273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9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</w:p>
        </w:tc>
        <w:tc>
          <w:tcPr>
            <w:tcW w:w="133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Pr="00BA0533" w:rsidRDefault="00706C6C" w:rsidP="00D5382D">
            <w:pPr>
              <w:spacing w:line="240" w:lineRule="auto"/>
              <w:rPr>
                <w:b/>
                <w:sz w:val="20"/>
              </w:rPr>
            </w:pPr>
          </w:p>
        </w:tc>
      </w:tr>
      <w:tr w:rsidR="00F44273" w:rsidTr="00706C6C">
        <w:trPr>
          <w:trHeight w:val="448"/>
          <w:jc w:val="center"/>
        </w:trPr>
        <w:tc>
          <w:tcPr>
            <w:tcW w:w="147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44273" w:rsidRDefault="00F44273" w:rsidP="00D5382D">
            <w:pPr>
              <w:spacing w:line="240" w:lineRule="auto"/>
            </w:pPr>
            <w:r>
              <w:t>Lida Arroyave Vargas</w:t>
            </w:r>
          </w:p>
        </w:tc>
        <w:tc>
          <w:tcPr>
            <w:tcW w:w="159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44273" w:rsidRDefault="00F44273" w:rsidP="00D5382D">
            <w:pPr>
              <w:spacing w:line="240" w:lineRule="auto"/>
            </w:pPr>
            <w:r>
              <w:t>Docente y Coordinadora del programa de Licenciatura en Lenguas Extranjeras – Seccional Oriente</w:t>
            </w:r>
          </w:p>
        </w:tc>
        <w:tc>
          <w:tcPr>
            <w:tcW w:w="29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44273" w:rsidRDefault="00F44273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9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44273" w:rsidRDefault="00F44273" w:rsidP="00D5382D">
            <w:pPr>
              <w:spacing w:line="240" w:lineRule="auto"/>
              <w:rPr>
                <w:b/>
              </w:rPr>
            </w:pPr>
          </w:p>
        </w:tc>
        <w:tc>
          <w:tcPr>
            <w:tcW w:w="133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44273" w:rsidRPr="00BA0533" w:rsidRDefault="00F44273" w:rsidP="00D5382D">
            <w:pPr>
              <w:spacing w:line="240" w:lineRule="auto"/>
              <w:rPr>
                <w:b/>
                <w:sz w:val="20"/>
              </w:rPr>
            </w:pPr>
          </w:p>
        </w:tc>
      </w:tr>
      <w:tr w:rsidR="00706C6C" w:rsidTr="00706C6C">
        <w:trPr>
          <w:trHeight w:val="283"/>
          <w:jc w:val="center"/>
        </w:trPr>
        <w:tc>
          <w:tcPr>
            <w:tcW w:w="147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 xml:space="preserve">Luz </w:t>
            </w:r>
            <w:proofErr w:type="spellStart"/>
            <w:r>
              <w:t>Mery</w:t>
            </w:r>
            <w:proofErr w:type="spellEnd"/>
            <w:r>
              <w:t xml:space="preserve"> </w:t>
            </w:r>
            <w:r w:rsidR="00C41B05">
              <w:t>Orrego</w:t>
            </w:r>
          </w:p>
        </w:tc>
        <w:tc>
          <w:tcPr>
            <w:tcW w:w="159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Docente</w:t>
            </w:r>
          </w:p>
        </w:tc>
        <w:tc>
          <w:tcPr>
            <w:tcW w:w="29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9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</w:p>
        </w:tc>
        <w:tc>
          <w:tcPr>
            <w:tcW w:w="133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Pr="00BA0533" w:rsidRDefault="00706C6C" w:rsidP="00D5382D">
            <w:pPr>
              <w:spacing w:line="240" w:lineRule="auto"/>
              <w:rPr>
                <w:b/>
                <w:sz w:val="20"/>
              </w:rPr>
            </w:pPr>
          </w:p>
        </w:tc>
      </w:tr>
      <w:tr w:rsidR="00706C6C" w:rsidTr="00706C6C">
        <w:trPr>
          <w:trHeight w:val="283"/>
          <w:jc w:val="center"/>
        </w:trPr>
        <w:tc>
          <w:tcPr>
            <w:tcW w:w="1479" w:type="pct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C41B05" w:rsidP="00D5382D">
            <w:pPr>
              <w:spacing w:line="240" w:lineRule="auto"/>
            </w:pPr>
            <w:r>
              <w:t>María</w:t>
            </w:r>
            <w:r w:rsidR="00706C6C">
              <w:t xml:space="preserve"> Elena Ardila</w:t>
            </w:r>
          </w:p>
        </w:tc>
        <w:tc>
          <w:tcPr>
            <w:tcW w:w="1597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Docente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3E4866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332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Pr="00BA0533" w:rsidRDefault="00F44273" w:rsidP="00D5382D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No pudo asistir ya que estaba resolviendo unos asuntos urgentes del CAE</w:t>
            </w:r>
          </w:p>
        </w:tc>
      </w:tr>
      <w:tr w:rsidR="00706C6C" w:rsidTr="00706C6C">
        <w:trPr>
          <w:trHeight w:val="450"/>
          <w:jc w:val="center"/>
        </w:trPr>
        <w:tc>
          <w:tcPr>
            <w:tcW w:w="1479" w:type="pct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María McNulty</w:t>
            </w:r>
          </w:p>
        </w:tc>
        <w:tc>
          <w:tcPr>
            <w:tcW w:w="1597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Coordinadora Licenciatura en Lenguas Extranjeras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F44273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Pr="00BA0533" w:rsidRDefault="00706C6C" w:rsidP="00D5382D">
            <w:pPr>
              <w:spacing w:line="240" w:lineRule="auto"/>
              <w:rPr>
                <w:sz w:val="20"/>
              </w:rPr>
            </w:pPr>
          </w:p>
        </w:tc>
      </w:tr>
      <w:tr w:rsidR="00706C6C" w:rsidTr="00706C6C">
        <w:trPr>
          <w:trHeight w:val="446"/>
          <w:jc w:val="center"/>
        </w:trPr>
        <w:tc>
          <w:tcPr>
            <w:tcW w:w="1479" w:type="pct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Miguel Betancourt</w:t>
            </w:r>
          </w:p>
        </w:tc>
        <w:tc>
          <w:tcPr>
            <w:tcW w:w="1597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Coordinador de Prácticas, docente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433DD6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332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Pr="00BA0533" w:rsidRDefault="00706C6C" w:rsidP="00D5382D">
            <w:pPr>
              <w:spacing w:line="240" w:lineRule="auto"/>
              <w:rPr>
                <w:sz w:val="20"/>
              </w:rPr>
            </w:pPr>
          </w:p>
        </w:tc>
      </w:tr>
      <w:tr w:rsidR="00706C6C" w:rsidTr="00706C6C">
        <w:trPr>
          <w:trHeight w:val="283"/>
          <w:jc w:val="center"/>
        </w:trPr>
        <w:tc>
          <w:tcPr>
            <w:tcW w:w="1479" w:type="pct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Sandra Echeverri</w:t>
            </w:r>
          </w:p>
        </w:tc>
        <w:tc>
          <w:tcPr>
            <w:tcW w:w="1597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Docente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2A77B0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F44273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332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Pr="00BA0533" w:rsidRDefault="00706C6C" w:rsidP="00D5382D">
            <w:pPr>
              <w:spacing w:line="240" w:lineRule="auto"/>
              <w:rPr>
                <w:sz w:val="20"/>
              </w:rPr>
            </w:pPr>
          </w:p>
        </w:tc>
      </w:tr>
      <w:tr w:rsidR="00433DD6" w:rsidTr="00706C6C">
        <w:trPr>
          <w:trHeight w:val="283"/>
          <w:jc w:val="center"/>
        </w:trPr>
        <w:tc>
          <w:tcPr>
            <w:tcW w:w="1479" w:type="pct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33DD6" w:rsidRDefault="00F44273" w:rsidP="00D5382D">
            <w:pPr>
              <w:spacing w:line="240" w:lineRule="auto"/>
            </w:pPr>
            <w:r>
              <w:lastRenderedPageBreak/>
              <w:t>Manuela Hernández</w:t>
            </w:r>
          </w:p>
        </w:tc>
        <w:tc>
          <w:tcPr>
            <w:tcW w:w="1597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33DD6" w:rsidRDefault="00433DD6" w:rsidP="00D5382D">
            <w:pPr>
              <w:spacing w:line="240" w:lineRule="auto"/>
            </w:pPr>
            <w:r>
              <w:t>Auxiliar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33DD6" w:rsidRDefault="001C5492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33DD6" w:rsidRDefault="00433DD6" w:rsidP="00D5382D">
            <w:pPr>
              <w:spacing w:line="240" w:lineRule="auto"/>
              <w:rPr>
                <w:b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33DD6" w:rsidRPr="00BA0533" w:rsidRDefault="00433DD6" w:rsidP="00D5382D">
            <w:pPr>
              <w:spacing w:line="240" w:lineRule="auto"/>
              <w:rPr>
                <w:sz w:val="20"/>
              </w:rPr>
            </w:pPr>
          </w:p>
        </w:tc>
      </w:tr>
    </w:tbl>
    <w:p w:rsidR="003E4866" w:rsidRDefault="003E4866">
      <w:pPr>
        <w:spacing w:line="240" w:lineRule="auto"/>
        <w:rPr>
          <w:b/>
        </w:rPr>
      </w:pPr>
    </w:p>
    <w:p w:rsidR="00C36610" w:rsidRDefault="00C36610">
      <w:pPr>
        <w:spacing w:line="240" w:lineRule="auto"/>
        <w:rPr>
          <w:b/>
        </w:rPr>
      </w:pPr>
    </w:p>
    <w:p w:rsidR="00EC0D2C" w:rsidRDefault="00706C6C">
      <w:pPr>
        <w:spacing w:line="240" w:lineRule="auto"/>
        <w:rPr>
          <w:b/>
        </w:rPr>
      </w:pPr>
      <w:bookmarkStart w:id="0" w:name="_GoBack"/>
      <w:bookmarkEnd w:id="0"/>
      <w:r>
        <w:rPr>
          <w:b/>
        </w:rPr>
        <w:t>Orden del día</w:t>
      </w:r>
    </w:p>
    <w:p w:rsidR="00706C6C" w:rsidRDefault="00706C6C">
      <w:pPr>
        <w:spacing w:line="240" w:lineRule="auto"/>
        <w:rPr>
          <w:b/>
        </w:rPr>
      </w:pPr>
    </w:p>
    <w:p w:rsidR="007C733D" w:rsidRPr="00433DD6" w:rsidRDefault="00433DD6" w:rsidP="00433DD6">
      <w:pPr>
        <w:spacing w:line="312" w:lineRule="auto"/>
        <w:contextualSpacing/>
        <w:rPr>
          <w:b/>
        </w:rPr>
      </w:pPr>
      <w:r w:rsidRPr="00433DD6">
        <w:rPr>
          <w:b/>
        </w:rPr>
        <w:t xml:space="preserve">Tema Principal: </w:t>
      </w:r>
    </w:p>
    <w:p w:rsidR="00F44273" w:rsidRPr="00F44273" w:rsidRDefault="00F44273" w:rsidP="00F44273">
      <w:pPr>
        <w:numPr>
          <w:ilvl w:val="0"/>
          <w:numId w:val="6"/>
        </w:numPr>
        <w:spacing w:line="312" w:lineRule="auto"/>
        <w:rPr>
          <w:lang w:val="es-CO"/>
        </w:rPr>
      </w:pPr>
      <w:r w:rsidRPr="00F44273">
        <w:rPr>
          <w:lang w:val="es-CO"/>
        </w:rPr>
        <w:t>Informes de los subgrupos</w:t>
      </w:r>
    </w:p>
    <w:p w:rsidR="00F44273" w:rsidRPr="00F44273" w:rsidRDefault="00F44273" w:rsidP="00F44273">
      <w:pPr>
        <w:numPr>
          <w:ilvl w:val="1"/>
          <w:numId w:val="5"/>
        </w:numPr>
        <w:spacing w:line="312" w:lineRule="auto"/>
        <w:contextualSpacing/>
        <w:rPr>
          <w:lang w:val="es-CO"/>
        </w:rPr>
      </w:pPr>
      <w:r w:rsidRPr="00F44273">
        <w:rPr>
          <w:lang w:val="es-CO"/>
        </w:rPr>
        <w:t>Corrección de los programas</w:t>
      </w:r>
    </w:p>
    <w:p w:rsidR="00F44273" w:rsidRPr="00F44273" w:rsidRDefault="00F44273" w:rsidP="00F44273">
      <w:pPr>
        <w:numPr>
          <w:ilvl w:val="0"/>
          <w:numId w:val="7"/>
        </w:numPr>
        <w:spacing w:line="312" w:lineRule="auto"/>
        <w:contextualSpacing/>
        <w:rPr>
          <w:lang w:val="es-CO"/>
        </w:rPr>
      </w:pPr>
      <w:r w:rsidRPr="00F44273">
        <w:rPr>
          <w:lang w:val="es-CO"/>
        </w:rPr>
        <w:t>Pedagogía</w:t>
      </w:r>
    </w:p>
    <w:p w:rsidR="00F44273" w:rsidRPr="00F44273" w:rsidRDefault="00F44273" w:rsidP="00F44273">
      <w:pPr>
        <w:numPr>
          <w:ilvl w:val="0"/>
          <w:numId w:val="7"/>
        </w:numPr>
        <w:spacing w:line="312" w:lineRule="auto"/>
        <w:contextualSpacing/>
        <w:rPr>
          <w:lang w:val="es-CO"/>
        </w:rPr>
      </w:pPr>
      <w:r w:rsidRPr="00F44273">
        <w:rPr>
          <w:lang w:val="es-CO"/>
        </w:rPr>
        <w:t>Lengua y Cultura</w:t>
      </w:r>
    </w:p>
    <w:p w:rsidR="00F44273" w:rsidRPr="00F44273" w:rsidRDefault="00F44273" w:rsidP="00F44273">
      <w:pPr>
        <w:numPr>
          <w:ilvl w:val="0"/>
          <w:numId w:val="7"/>
        </w:numPr>
        <w:spacing w:line="312" w:lineRule="auto"/>
        <w:contextualSpacing/>
        <w:rPr>
          <w:lang w:val="es-CO"/>
        </w:rPr>
      </w:pPr>
      <w:r w:rsidRPr="00F44273">
        <w:rPr>
          <w:lang w:val="es-CO"/>
        </w:rPr>
        <w:t>Investigación I</w:t>
      </w:r>
    </w:p>
    <w:p w:rsidR="00F44273" w:rsidRPr="00F44273" w:rsidRDefault="00F44273" w:rsidP="00F44273">
      <w:pPr>
        <w:numPr>
          <w:ilvl w:val="0"/>
          <w:numId w:val="7"/>
        </w:numPr>
        <w:spacing w:line="312" w:lineRule="auto"/>
        <w:contextualSpacing/>
        <w:rPr>
          <w:lang w:val="es-CO"/>
        </w:rPr>
      </w:pPr>
      <w:r w:rsidRPr="00F44273">
        <w:rPr>
          <w:lang w:val="es-CO"/>
        </w:rPr>
        <w:t>Práctica I</w:t>
      </w:r>
    </w:p>
    <w:p w:rsidR="00F44273" w:rsidRPr="00F44273" w:rsidRDefault="00F44273" w:rsidP="00F44273">
      <w:pPr>
        <w:numPr>
          <w:ilvl w:val="1"/>
          <w:numId w:val="5"/>
        </w:numPr>
        <w:spacing w:line="312" w:lineRule="auto"/>
        <w:contextualSpacing/>
        <w:rPr>
          <w:lang w:val="es-CO"/>
        </w:rPr>
      </w:pPr>
      <w:r w:rsidRPr="00F44273">
        <w:rPr>
          <w:lang w:val="es-CO"/>
        </w:rPr>
        <w:t>Autoevaluación (Octubre 15 del 2018)</w:t>
      </w:r>
    </w:p>
    <w:p w:rsidR="00F44273" w:rsidRPr="00F44273" w:rsidRDefault="00F44273" w:rsidP="00F44273">
      <w:pPr>
        <w:numPr>
          <w:ilvl w:val="1"/>
          <w:numId w:val="5"/>
        </w:numPr>
        <w:spacing w:line="312" w:lineRule="auto"/>
        <w:contextualSpacing/>
        <w:rPr>
          <w:lang w:val="es-CO"/>
        </w:rPr>
      </w:pPr>
      <w:r w:rsidRPr="00F44273">
        <w:rPr>
          <w:lang w:val="es-CO"/>
        </w:rPr>
        <w:t>Proyecto Educativo del Programa PEP</w:t>
      </w:r>
    </w:p>
    <w:p w:rsidR="00F44273" w:rsidRPr="00F44273" w:rsidRDefault="00F44273" w:rsidP="00F44273">
      <w:pPr>
        <w:numPr>
          <w:ilvl w:val="1"/>
          <w:numId w:val="5"/>
        </w:numPr>
        <w:spacing w:line="312" w:lineRule="auto"/>
        <w:contextualSpacing/>
        <w:rPr>
          <w:lang w:val="es-CO"/>
        </w:rPr>
      </w:pPr>
      <w:r w:rsidRPr="00F44273">
        <w:rPr>
          <w:lang w:val="es-CO"/>
        </w:rPr>
        <w:t>Seguimiento e implementación de los programas.</w:t>
      </w:r>
    </w:p>
    <w:p w:rsidR="00F44273" w:rsidRPr="00F44273" w:rsidRDefault="00F44273" w:rsidP="00F44273">
      <w:pPr>
        <w:numPr>
          <w:ilvl w:val="0"/>
          <w:numId w:val="6"/>
        </w:numPr>
        <w:spacing w:line="312" w:lineRule="auto"/>
        <w:contextualSpacing/>
        <w:rPr>
          <w:lang w:val="es-CO"/>
        </w:rPr>
      </w:pPr>
      <w:r w:rsidRPr="00F44273">
        <w:rPr>
          <w:lang w:val="es-CO"/>
        </w:rPr>
        <w:t>Informes tareas de Coordinación de la Licenciatura en Lenguas Extranjeras</w:t>
      </w:r>
    </w:p>
    <w:p w:rsidR="00F44273" w:rsidRPr="00F44273" w:rsidRDefault="00F44273" w:rsidP="00F44273">
      <w:pPr>
        <w:numPr>
          <w:ilvl w:val="0"/>
          <w:numId w:val="6"/>
        </w:numPr>
        <w:spacing w:line="312" w:lineRule="auto"/>
        <w:contextualSpacing/>
        <w:rPr>
          <w:lang w:val="es-CO"/>
        </w:rPr>
      </w:pPr>
      <w:r w:rsidRPr="00F44273">
        <w:rPr>
          <w:lang w:val="es-CO"/>
        </w:rPr>
        <w:t>Principios de la Formación del Ser</w:t>
      </w:r>
    </w:p>
    <w:p w:rsidR="00F44273" w:rsidRDefault="00F44273" w:rsidP="00F44273">
      <w:pPr>
        <w:numPr>
          <w:ilvl w:val="0"/>
          <w:numId w:val="6"/>
        </w:numPr>
        <w:spacing w:line="312" w:lineRule="auto"/>
        <w:contextualSpacing/>
        <w:rPr>
          <w:lang w:val="es-CO"/>
        </w:rPr>
      </w:pPr>
      <w:r w:rsidRPr="00F44273">
        <w:rPr>
          <w:lang w:val="es-CO"/>
        </w:rPr>
        <w:t>Electivas Oriente (Anexo Acta 529 del 21 de Agosto)</w:t>
      </w:r>
    </w:p>
    <w:p w:rsidR="00F44273" w:rsidRPr="00F44273" w:rsidRDefault="00F44273" w:rsidP="00F44273">
      <w:pPr>
        <w:spacing w:line="312" w:lineRule="auto"/>
        <w:ind w:left="720"/>
        <w:contextualSpacing/>
        <w:rPr>
          <w:lang w:val="es-CO"/>
        </w:rPr>
      </w:pPr>
    </w:p>
    <w:p w:rsidR="00F44273" w:rsidRPr="00F44273" w:rsidRDefault="00F44273" w:rsidP="00F44273">
      <w:pPr>
        <w:spacing w:line="312" w:lineRule="auto"/>
        <w:contextualSpacing/>
        <w:rPr>
          <w:lang w:val="es-CO"/>
        </w:rPr>
      </w:pPr>
      <w:r w:rsidRPr="00F44273">
        <w:rPr>
          <w:b/>
          <w:lang w:val="es-CO"/>
        </w:rPr>
        <w:t>Varios</w:t>
      </w:r>
    </w:p>
    <w:p w:rsidR="00093F2E" w:rsidRPr="00F44273" w:rsidRDefault="00F44273" w:rsidP="00F44273">
      <w:pPr>
        <w:spacing w:line="312" w:lineRule="auto"/>
        <w:ind w:left="720"/>
        <w:contextualSpacing/>
        <w:rPr>
          <w:lang w:val="es-CO"/>
        </w:rPr>
      </w:pPr>
      <w:r w:rsidRPr="00F44273">
        <w:rPr>
          <w:lang w:val="es-CO"/>
        </w:rPr>
        <w:t xml:space="preserve">Ana María Sierra </w:t>
      </w:r>
      <w:r w:rsidRPr="00F44273">
        <w:rPr>
          <w:lang w:val="es-CO"/>
        </w:rPr>
        <w:sym w:font="Wingdings" w:char="F0E0"/>
      </w:r>
      <w:r w:rsidRPr="00F44273">
        <w:rPr>
          <w:lang w:val="es-CO"/>
        </w:rPr>
        <w:t xml:space="preserve"> Resolución del Consejo de Escuela sobre el cambio de programa 1475 al 1476</w:t>
      </w:r>
    </w:p>
    <w:p w:rsidR="003A52F1" w:rsidRDefault="003A52F1" w:rsidP="00C41B05">
      <w:pPr>
        <w:spacing w:line="240" w:lineRule="auto"/>
        <w:rPr>
          <w:sz w:val="20"/>
        </w:rPr>
      </w:pPr>
    </w:p>
    <w:tbl>
      <w:tblPr>
        <w:tblStyle w:val="a0"/>
        <w:tblW w:w="996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167"/>
        <w:gridCol w:w="2835"/>
        <w:gridCol w:w="4958"/>
      </w:tblGrid>
      <w:tr w:rsidR="00EC0D2C" w:rsidTr="00732728">
        <w:trPr>
          <w:jc w:val="center"/>
        </w:trPr>
        <w:tc>
          <w:tcPr>
            <w:tcW w:w="216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0D2C" w:rsidRDefault="00781329" w:rsidP="00334052">
            <w:pPr>
              <w:jc w:val="center"/>
              <w:rPr>
                <w:b/>
                <w:shd w:val="clear" w:color="auto" w:fill="E2EFD9"/>
              </w:rPr>
            </w:pPr>
            <w:r>
              <w:rPr>
                <w:b/>
              </w:rPr>
              <w:t>Nombre del solicitante o proponente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0D2C" w:rsidRDefault="00781329" w:rsidP="00334052">
            <w:pPr>
              <w:jc w:val="center"/>
              <w:rPr>
                <w:b/>
                <w:shd w:val="clear" w:color="auto" w:fill="E2EFD9"/>
              </w:rPr>
            </w:pPr>
            <w:r>
              <w:rPr>
                <w:b/>
              </w:rPr>
              <w:t>Asunto de la solicitud</w:t>
            </w:r>
          </w:p>
        </w:tc>
        <w:tc>
          <w:tcPr>
            <w:tcW w:w="495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0D2C" w:rsidRDefault="00781329" w:rsidP="00334052">
            <w:pPr>
              <w:jc w:val="center"/>
              <w:rPr>
                <w:b/>
                <w:shd w:val="clear" w:color="auto" w:fill="E2EFD9"/>
              </w:rPr>
            </w:pPr>
            <w:r>
              <w:rPr>
                <w:b/>
              </w:rPr>
              <w:t>Decisión</w:t>
            </w:r>
          </w:p>
        </w:tc>
      </w:tr>
      <w:tr w:rsidR="00532EEA" w:rsidTr="00732728">
        <w:trPr>
          <w:jc w:val="center"/>
        </w:trPr>
        <w:tc>
          <w:tcPr>
            <w:tcW w:w="21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3F20" w:rsidRDefault="00F44273" w:rsidP="001C5492">
            <w:pPr>
              <w:widowControl w:val="0"/>
            </w:pPr>
            <w:r>
              <w:t xml:space="preserve">Prof. Luz </w:t>
            </w:r>
            <w:proofErr w:type="spellStart"/>
            <w:r>
              <w:t>Mery</w:t>
            </w:r>
            <w:proofErr w:type="spellEnd"/>
            <w:r>
              <w:t xml:space="preserve"> Orrego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3F20" w:rsidRDefault="00283359" w:rsidP="00283359">
            <w:pPr>
              <w:pStyle w:val="Prrafodelista"/>
              <w:numPr>
                <w:ilvl w:val="0"/>
                <w:numId w:val="8"/>
              </w:numPr>
              <w:spacing w:line="312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Corrección de los cursos</w:t>
            </w:r>
          </w:p>
          <w:p w:rsidR="00283359" w:rsidRDefault="00F1351C" w:rsidP="00283359">
            <w:pPr>
              <w:pStyle w:val="Prrafodelista"/>
              <w:numPr>
                <w:ilvl w:val="0"/>
                <w:numId w:val="8"/>
              </w:numPr>
              <w:spacing w:line="312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Informe sobre las tareas de la Coordinación de la Licenciatura en Lenguas Extranjeras</w:t>
            </w:r>
          </w:p>
          <w:p w:rsidR="00F1351C" w:rsidRDefault="00F1351C" w:rsidP="00283359">
            <w:pPr>
              <w:pStyle w:val="Prrafodelista"/>
              <w:numPr>
                <w:ilvl w:val="0"/>
                <w:numId w:val="8"/>
              </w:numPr>
              <w:spacing w:line="312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Acta Electivas Oriente</w:t>
            </w:r>
          </w:p>
          <w:p w:rsidR="0022013E" w:rsidRDefault="0022013E" w:rsidP="00283359">
            <w:pPr>
              <w:pStyle w:val="Prrafodelista"/>
              <w:numPr>
                <w:ilvl w:val="0"/>
                <w:numId w:val="8"/>
              </w:numPr>
              <w:spacing w:line="312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Propuesta Adriana Díaz</w:t>
            </w:r>
          </w:p>
          <w:p w:rsidR="0022013E" w:rsidRPr="00283359" w:rsidRDefault="0022013E" w:rsidP="00283359">
            <w:pPr>
              <w:pStyle w:val="Prrafodelista"/>
              <w:numPr>
                <w:ilvl w:val="0"/>
                <w:numId w:val="8"/>
              </w:numPr>
              <w:spacing w:line="312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Análisis del documento </w:t>
            </w:r>
            <w:r>
              <w:rPr>
                <w:rFonts w:eastAsia="Times New Roman"/>
                <w:i/>
                <w:szCs w:val="24"/>
              </w:rPr>
              <w:t>Los Principios de la Formación del Ser</w:t>
            </w:r>
          </w:p>
        </w:tc>
        <w:tc>
          <w:tcPr>
            <w:tcW w:w="49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7BE7" w:rsidRPr="00283359" w:rsidRDefault="00283359" w:rsidP="00283359">
            <w:pPr>
              <w:pStyle w:val="Prrafodelista"/>
              <w:widowControl w:val="0"/>
              <w:numPr>
                <w:ilvl w:val="0"/>
                <w:numId w:val="9"/>
              </w:numPr>
            </w:pPr>
            <w:r w:rsidRPr="00283359">
              <w:rPr>
                <w:lang w:val="es-CO"/>
              </w:rPr>
              <w:t>Los subgrupos deben redactar una carta junto con las correcciones que se hicieron de los cursos, las que no y explicar el por qué para a partir de ahí discutirlos ya que estos se deben aprobar desde el Comité de Carrera.</w:t>
            </w:r>
          </w:p>
          <w:p w:rsidR="00283359" w:rsidRPr="00283359" w:rsidRDefault="00283359" w:rsidP="00283359">
            <w:pPr>
              <w:pStyle w:val="Prrafodelista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lang w:val="es-CO"/>
              </w:rPr>
              <w:t xml:space="preserve">Claudia Gutiérrez se ofrece a orientar a Doris Correa para informarla sobre el nuevo programa 1476 y habla del documento </w:t>
            </w:r>
            <w:r w:rsidRPr="00283359">
              <w:rPr>
                <w:lang w:val="es-CO"/>
              </w:rPr>
              <w:t xml:space="preserve">que escribió donde habla del programa. </w:t>
            </w:r>
            <w:r w:rsidRPr="00283359">
              <w:rPr>
                <w:rFonts w:eastAsia="Times New Roman"/>
                <w:sz w:val="24"/>
                <w:szCs w:val="24"/>
              </w:rPr>
              <w:t xml:space="preserve">se decide </w:t>
            </w:r>
            <w:r w:rsidRPr="00283359">
              <w:rPr>
                <w:rFonts w:eastAsia="Times New Roman"/>
              </w:rPr>
              <w:t>presentar este documento antes de presentar las correcciones de los cursos en la próxima reunión por lo que hay que enviarlo a todos los miembros del Comité para que estén al tanto.</w:t>
            </w:r>
          </w:p>
          <w:p w:rsidR="00F1351C" w:rsidRPr="00F1351C" w:rsidRDefault="00F1351C" w:rsidP="00F1351C">
            <w:pPr>
              <w:pStyle w:val="Prrafodelista"/>
              <w:widowControl w:val="0"/>
              <w:numPr>
                <w:ilvl w:val="0"/>
                <w:numId w:val="9"/>
              </w:numPr>
            </w:pPr>
            <w:r w:rsidRPr="00F1351C">
              <w:rPr>
                <w:rFonts w:eastAsia="Times New Roman"/>
              </w:rPr>
              <w:t xml:space="preserve">Debido a la asamblea permanente, se </w:t>
            </w:r>
            <w:r w:rsidRPr="00F1351C">
              <w:rPr>
                <w:rFonts w:eastAsia="Times New Roman"/>
              </w:rPr>
              <w:lastRenderedPageBreak/>
              <w:t>decide volver a organizar las fechas y realizar nuevamente todas las evaluaciones de curso cuando se normalice la situación.</w:t>
            </w:r>
            <w:r>
              <w:rPr>
                <w:rFonts w:eastAsia="Times New Roman"/>
              </w:rPr>
              <w:t xml:space="preserve"> </w:t>
            </w:r>
          </w:p>
          <w:p w:rsidR="00F1351C" w:rsidRPr="00F1351C" w:rsidRDefault="00F1351C" w:rsidP="00F1351C">
            <w:pPr>
              <w:pStyle w:val="Prrafodelista"/>
              <w:widowControl w:val="0"/>
              <w:numPr>
                <w:ilvl w:val="0"/>
                <w:numId w:val="15"/>
              </w:numPr>
            </w:pPr>
            <w:r w:rsidRPr="00F1351C">
              <w:t>Se decide averiguar sobre las clasificaciones de curso para el nuevo programa 1476 teniendo en cuenta las clasificaciones que se hicieron para el 2018-1</w:t>
            </w:r>
            <w:r>
              <w:t>.</w:t>
            </w:r>
          </w:p>
          <w:p w:rsidR="00F1351C" w:rsidRPr="00F1351C" w:rsidRDefault="00F1351C" w:rsidP="00F1351C">
            <w:pPr>
              <w:pStyle w:val="Prrafodelista"/>
              <w:widowControl w:val="0"/>
              <w:numPr>
                <w:ilvl w:val="0"/>
                <w:numId w:val="9"/>
              </w:numPr>
            </w:pPr>
            <w:r w:rsidRPr="00F1351C">
              <w:t>El Acta sobre las electivas de la seccional Oriente se anexará a la Acta pasada aunque todo se hizo por correo electrónico, esta queda entonces como Anexo al Acta 529 del 21 de agosto del 2018.</w:t>
            </w:r>
          </w:p>
          <w:p w:rsidR="0022013E" w:rsidRPr="0022013E" w:rsidRDefault="0022013E" w:rsidP="0022013E">
            <w:pPr>
              <w:pStyle w:val="Prrafodelista"/>
              <w:widowControl w:val="0"/>
              <w:numPr>
                <w:ilvl w:val="0"/>
                <w:numId w:val="9"/>
              </w:numPr>
            </w:pPr>
            <w:r>
              <w:t xml:space="preserve">Se niega la propuesta de Adriana Díaz de hablar con el Comité, se le pide que mande la </w:t>
            </w:r>
            <w:r w:rsidRPr="0022013E">
              <w:t xml:space="preserve">información por correo. </w:t>
            </w:r>
          </w:p>
          <w:p w:rsidR="0022013E" w:rsidRPr="0022013E" w:rsidRDefault="0022013E" w:rsidP="0022013E">
            <w:pPr>
              <w:pStyle w:val="Prrafodelista"/>
              <w:widowControl w:val="0"/>
              <w:numPr>
                <w:ilvl w:val="0"/>
                <w:numId w:val="9"/>
              </w:numPr>
            </w:pPr>
            <w:r w:rsidRPr="0022013E">
              <w:t xml:space="preserve">Se discute el documento y se hacen varios comentarios, </w:t>
            </w:r>
            <w:r w:rsidRPr="0022013E">
              <w:rPr>
                <w:lang w:val="es-CO"/>
              </w:rPr>
              <w:t xml:space="preserve">Se decide es deformar un poco el documento y reconocer estas cosas antes de numerar los principios para aclarar estas situaciones, </w:t>
            </w:r>
            <w:r w:rsidRPr="0022013E">
              <w:rPr>
                <w:rFonts w:eastAsia="Times New Roman"/>
              </w:rPr>
              <w:t xml:space="preserve">Luz </w:t>
            </w:r>
            <w:proofErr w:type="spellStart"/>
            <w:r w:rsidRPr="0022013E">
              <w:rPr>
                <w:rFonts w:eastAsia="Times New Roman"/>
              </w:rPr>
              <w:t>Mery</w:t>
            </w:r>
            <w:proofErr w:type="spellEnd"/>
            <w:r w:rsidRPr="0022013E">
              <w:rPr>
                <w:rFonts w:eastAsia="Times New Roman"/>
              </w:rPr>
              <w:t xml:space="preserve"> propone que en la introducción del documento se aclare todo esto, en especial que puede parecer contradictorio pero es porque no se quiere poner una perspectiva estricta.</w:t>
            </w:r>
            <w:r w:rsidRPr="0022013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097D04" w:rsidTr="00732728">
        <w:trPr>
          <w:jc w:val="center"/>
        </w:trPr>
        <w:tc>
          <w:tcPr>
            <w:tcW w:w="21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7D04" w:rsidRDefault="002D74EA" w:rsidP="00334052">
            <w:pPr>
              <w:widowControl w:val="0"/>
            </w:pPr>
            <w:r>
              <w:lastRenderedPageBreak/>
              <w:t xml:space="preserve">Prof. </w:t>
            </w:r>
            <w:r w:rsidR="00283359">
              <w:t xml:space="preserve">Ana </w:t>
            </w:r>
            <w:proofErr w:type="spellStart"/>
            <w:r w:rsidR="00283359">
              <w:t>Elsy</w:t>
            </w:r>
            <w:proofErr w:type="spellEnd"/>
            <w:r w:rsidR="00283359">
              <w:t xml:space="preserve"> Díaz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7D04" w:rsidRPr="00F1351C" w:rsidRDefault="00283359" w:rsidP="00F1351C">
            <w:pPr>
              <w:pStyle w:val="Prrafodelista"/>
              <w:numPr>
                <w:ilvl w:val="0"/>
                <w:numId w:val="12"/>
              </w:numPr>
              <w:spacing w:line="312" w:lineRule="auto"/>
              <w:rPr>
                <w:rFonts w:eastAsia="Times New Roman"/>
                <w:szCs w:val="24"/>
              </w:rPr>
            </w:pPr>
            <w:r>
              <w:t>Autoevaluación</w:t>
            </w:r>
          </w:p>
          <w:p w:rsidR="00F1351C" w:rsidRPr="00F1351C" w:rsidRDefault="00F1351C" w:rsidP="00F1351C">
            <w:pPr>
              <w:pStyle w:val="Prrafodelista"/>
              <w:numPr>
                <w:ilvl w:val="0"/>
                <w:numId w:val="12"/>
              </w:numPr>
              <w:spacing w:line="312" w:lineRule="auto"/>
              <w:rPr>
                <w:rFonts w:eastAsia="Times New Roman"/>
                <w:szCs w:val="24"/>
              </w:rPr>
            </w:pPr>
            <w:r>
              <w:t xml:space="preserve">Cursos pedagógicos </w:t>
            </w:r>
          </w:p>
        </w:tc>
        <w:tc>
          <w:tcPr>
            <w:tcW w:w="49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351C" w:rsidRDefault="00283359" w:rsidP="00F1351C">
            <w:pPr>
              <w:pStyle w:val="Prrafodelista"/>
              <w:widowControl w:val="0"/>
              <w:numPr>
                <w:ilvl w:val="0"/>
                <w:numId w:val="13"/>
              </w:numPr>
            </w:pPr>
            <w:r w:rsidRPr="00283359">
              <w:t>Se recuerda que la fecha de entrega es el 15 de octubre y debido a que falta menos de un mes es necesario enviar un correo recordando esta información.</w:t>
            </w:r>
          </w:p>
          <w:p w:rsidR="00732728" w:rsidRPr="00F1351C" w:rsidRDefault="00F1351C" w:rsidP="00F1351C">
            <w:pPr>
              <w:pStyle w:val="Prrafodelista"/>
              <w:widowControl w:val="0"/>
              <w:numPr>
                <w:ilvl w:val="0"/>
                <w:numId w:val="13"/>
              </w:numPr>
            </w:pPr>
            <w:r w:rsidRPr="00F1351C">
              <w:rPr>
                <w:rFonts w:eastAsia="Times New Roman"/>
              </w:rPr>
              <w:t xml:space="preserve">Ana </w:t>
            </w:r>
            <w:proofErr w:type="spellStart"/>
            <w:r w:rsidRPr="00F1351C">
              <w:rPr>
                <w:rFonts w:eastAsia="Times New Roman"/>
              </w:rPr>
              <w:t>Elsy</w:t>
            </w:r>
            <w:proofErr w:type="spellEnd"/>
            <w:r w:rsidRPr="00F1351C">
              <w:rPr>
                <w:rFonts w:eastAsia="Times New Roman"/>
              </w:rPr>
              <w:t xml:space="preserve"> habla de que con el curso Teorías del Aprendizaje le tocó coger los dos cursos y soltar uno del programa 1475, le parece importante hacer una inducción a los profesores ya que Ana </w:t>
            </w:r>
            <w:proofErr w:type="spellStart"/>
            <w:r w:rsidRPr="00F1351C">
              <w:rPr>
                <w:rFonts w:eastAsia="Times New Roman"/>
              </w:rPr>
              <w:t>Elsy</w:t>
            </w:r>
            <w:proofErr w:type="spellEnd"/>
            <w:r w:rsidRPr="00F1351C">
              <w:rPr>
                <w:rFonts w:eastAsia="Times New Roman"/>
              </w:rPr>
              <w:t xml:space="preserve"> no puede coger todos los cursos y es importante que los profesores que darán Epistemología y Teorías del Aprendizaje estén capacitados. Ana </w:t>
            </w:r>
            <w:proofErr w:type="spellStart"/>
            <w:r w:rsidRPr="00F1351C">
              <w:rPr>
                <w:rFonts w:eastAsia="Times New Roman"/>
              </w:rPr>
              <w:t>Elsy</w:t>
            </w:r>
            <w:proofErr w:type="spellEnd"/>
            <w:r w:rsidRPr="00F1351C">
              <w:rPr>
                <w:rFonts w:eastAsia="Times New Roman"/>
              </w:rPr>
              <w:t xml:space="preserve"> propone concretar unos encuentros para estas inducciones ya que esta inducción es necesaria y ella se encargará de esto.</w:t>
            </w:r>
          </w:p>
        </w:tc>
      </w:tr>
      <w:tr w:rsidR="002D74EA" w:rsidTr="00732728">
        <w:trPr>
          <w:jc w:val="center"/>
        </w:trPr>
        <w:tc>
          <w:tcPr>
            <w:tcW w:w="21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4EA" w:rsidRDefault="00283359" w:rsidP="00334052">
            <w:pPr>
              <w:widowControl w:val="0"/>
            </w:pPr>
            <w:r>
              <w:t>Prof. Ana María Sierra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4EA" w:rsidRDefault="00283359" w:rsidP="00F1351C">
            <w:pPr>
              <w:pStyle w:val="Prrafodelista"/>
              <w:numPr>
                <w:ilvl w:val="0"/>
                <w:numId w:val="16"/>
              </w:numPr>
              <w:spacing w:line="312" w:lineRule="auto"/>
            </w:pPr>
            <w:r>
              <w:t>Proyecto Educativo del Programa PEP</w:t>
            </w:r>
          </w:p>
          <w:p w:rsidR="00F1351C" w:rsidRDefault="00F1351C" w:rsidP="00F1351C">
            <w:pPr>
              <w:pStyle w:val="Prrafodelista"/>
              <w:numPr>
                <w:ilvl w:val="0"/>
                <w:numId w:val="16"/>
              </w:numPr>
              <w:spacing w:line="312" w:lineRule="auto"/>
            </w:pPr>
            <w:r>
              <w:t xml:space="preserve">Resolución del Consejo de Escuela </w:t>
            </w:r>
            <w:r>
              <w:lastRenderedPageBreak/>
              <w:t>sobre el cambio de programa 1475 a 1476</w:t>
            </w:r>
          </w:p>
        </w:tc>
        <w:tc>
          <w:tcPr>
            <w:tcW w:w="49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4EA" w:rsidRDefault="00283359" w:rsidP="00F1351C">
            <w:pPr>
              <w:pStyle w:val="Prrafodelista"/>
              <w:widowControl w:val="0"/>
              <w:numPr>
                <w:ilvl w:val="0"/>
                <w:numId w:val="17"/>
              </w:numPr>
            </w:pPr>
            <w:r w:rsidRPr="00283359">
              <w:lastRenderedPageBreak/>
              <w:t>Se decide que Iván</w:t>
            </w:r>
            <w:r>
              <w:t xml:space="preserve"> Flórez</w:t>
            </w:r>
            <w:r w:rsidRPr="00283359">
              <w:t xml:space="preserve"> y </w:t>
            </w:r>
            <w:r>
              <w:t xml:space="preserve">Juan Rodrigo se dediquen al PEP </w:t>
            </w:r>
            <w:r w:rsidRPr="00283359">
              <w:t xml:space="preserve">y no a revisar las correcciones de los cursos ya que de esto se encargaran los otros miembros del </w:t>
            </w:r>
            <w:r w:rsidRPr="00283359">
              <w:lastRenderedPageBreak/>
              <w:t>Comité porque el PEP es urgente.</w:t>
            </w:r>
          </w:p>
          <w:p w:rsidR="00F1351C" w:rsidRDefault="00F1351C" w:rsidP="00F1351C">
            <w:pPr>
              <w:pStyle w:val="Prrafodelista"/>
              <w:widowControl w:val="0"/>
              <w:numPr>
                <w:ilvl w:val="0"/>
                <w:numId w:val="17"/>
              </w:numPr>
            </w:pPr>
            <w:r>
              <w:t>Se lee la Resolución y se hacen varias acotaciones.</w:t>
            </w:r>
          </w:p>
          <w:p w:rsidR="00F1351C" w:rsidRDefault="00F1351C" w:rsidP="00F1351C">
            <w:pPr>
              <w:pStyle w:val="Prrafodelista"/>
              <w:widowControl w:val="0"/>
              <w:numPr>
                <w:ilvl w:val="0"/>
                <w:numId w:val="15"/>
              </w:numPr>
            </w:pPr>
            <w:r>
              <w:t>Los estudiantes buscarán al CAE para resolver sus dudas respecto al proceso.</w:t>
            </w:r>
          </w:p>
          <w:p w:rsidR="00F1351C" w:rsidRDefault="00F1351C" w:rsidP="00F1351C">
            <w:pPr>
              <w:pStyle w:val="Prrafodelista"/>
              <w:widowControl w:val="0"/>
              <w:numPr>
                <w:ilvl w:val="0"/>
                <w:numId w:val="15"/>
              </w:numPr>
            </w:pPr>
            <w:r>
              <w:t>Este proceso se tramita a través del Consejo de Escuela ya que es un cambio de versión.</w:t>
            </w:r>
          </w:p>
          <w:p w:rsidR="00F1351C" w:rsidRDefault="0022013E" w:rsidP="00F1351C">
            <w:pPr>
              <w:pStyle w:val="Prrafodelista"/>
              <w:widowControl w:val="0"/>
              <w:numPr>
                <w:ilvl w:val="0"/>
                <w:numId w:val="15"/>
              </w:numPr>
            </w:pPr>
            <w:r>
              <w:t xml:space="preserve">Es sólo para estudiantes de niveles I y II o que tengan 32 créditos. </w:t>
            </w:r>
          </w:p>
          <w:p w:rsidR="0022013E" w:rsidRDefault="0022013E" w:rsidP="00F1351C">
            <w:pPr>
              <w:pStyle w:val="Prrafodelista"/>
              <w:widowControl w:val="0"/>
              <w:numPr>
                <w:ilvl w:val="0"/>
                <w:numId w:val="15"/>
              </w:numPr>
            </w:pPr>
            <w:r>
              <w:t>El reingreso es con otro proceso.</w:t>
            </w:r>
          </w:p>
          <w:p w:rsidR="00F1351C" w:rsidRDefault="0022013E" w:rsidP="0022013E">
            <w:pPr>
              <w:pStyle w:val="Prrafodelista"/>
              <w:widowControl w:val="0"/>
              <w:numPr>
                <w:ilvl w:val="0"/>
                <w:numId w:val="15"/>
              </w:numPr>
            </w:pPr>
            <w:r>
              <w:t>Se decide que el viernes se tiene que montar desde Formación Académica qué estudiantes reingresan para el programa 1475 y qué estudiantes para el 1476.</w:t>
            </w:r>
          </w:p>
        </w:tc>
      </w:tr>
      <w:tr w:rsidR="002D74EA" w:rsidTr="00732728">
        <w:trPr>
          <w:jc w:val="center"/>
        </w:trPr>
        <w:tc>
          <w:tcPr>
            <w:tcW w:w="21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4EA" w:rsidRDefault="002D74EA" w:rsidP="00334052">
            <w:pPr>
              <w:widowControl w:val="0"/>
            </w:pPr>
            <w:r>
              <w:lastRenderedPageBreak/>
              <w:t xml:space="preserve">Prof. </w:t>
            </w:r>
            <w:r w:rsidR="00283359">
              <w:t>Claudia Gutiérrez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4EA" w:rsidRDefault="00283359" w:rsidP="008B3F20">
            <w:pPr>
              <w:spacing w:line="312" w:lineRule="auto"/>
              <w:contextualSpacing/>
            </w:pPr>
            <w:r>
              <w:t>Seguimiento e implementación</w:t>
            </w:r>
          </w:p>
        </w:tc>
        <w:tc>
          <w:tcPr>
            <w:tcW w:w="49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3359" w:rsidRDefault="00283359" w:rsidP="00B45801">
            <w:pPr>
              <w:widowControl w:val="0"/>
            </w:pPr>
            <w:r>
              <w:t xml:space="preserve">Claudia Gutiérrez y Luz </w:t>
            </w:r>
            <w:proofErr w:type="spellStart"/>
            <w:r>
              <w:t>Mery</w:t>
            </w:r>
            <w:proofErr w:type="spellEnd"/>
            <w:r>
              <w:t xml:space="preserve"> Orrego cambiaron los formatos e implementaron preguntas abiertas más específicas para evaluar los cursos. </w:t>
            </w:r>
            <w:r w:rsidRPr="00283359">
              <w:t>Se decide que es bueno compartirlo con los miembros del Comité para que opinen sobre esta evaluación</w:t>
            </w:r>
            <w:r>
              <w:t>, Claudia Gutiérrez queda encargada de enviarlo.</w:t>
            </w:r>
          </w:p>
          <w:p w:rsidR="002D74EA" w:rsidRDefault="00283359" w:rsidP="00B45801">
            <w:pPr>
              <w:widowControl w:val="0"/>
            </w:pPr>
            <w:r w:rsidRPr="00283359">
              <w:t>Ana María Sierra dice que no es suficiente hacer preguntas, que es mejor entrevistar estudiantes aleatoriamente. Esto se aprueba y se decide también recoger evidencia a partir de observaciones en los cursos</w:t>
            </w:r>
            <w:r>
              <w:t>.</w:t>
            </w:r>
          </w:p>
          <w:p w:rsidR="00283359" w:rsidRDefault="00283359" w:rsidP="00B45801">
            <w:pPr>
              <w:widowControl w:val="0"/>
            </w:pPr>
            <w:r w:rsidRPr="00283359">
              <w:t xml:space="preserve">Ana </w:t>
            </w:r>
            <w:proofErr w:type="spellStart"/>
            <w:r w:rsidRPr="00283359">
              <w:t>Elsy</w:t>
            </w:r>
            <w:proofErr w:type="spellEnd"/>
            <w:r w:rsidRPr="00283359">
              <w:t xml:space="preserve"> propone cruzar los cursos de los profesores para socializar las respuestas de esas evaluaciones y ahí recoger más información.</w:t>
            </w:r>
          </w:p>
        </w:tc>
      </w:tr>
    </w:tbl>
    <w:p w:rsidR="00732728" w:rsidRDefault="00732728" w:rsidP="00732728">
      <w:pPr>
        <w:spacing w:line="240" w:lineRule="auto"/>
      </w:pPr>
    </w:p>
    <w:p w:rsidR="001C5492" w:rsidRDefault="001C5492" w:rsidP="00732728">
      <w:pPr>
        <w:spacing w:line="240" w:lineRule="auto"/>
      </w:pPr>
      <w:r>
        <w:t>Acta realizada por: Manuela Hernández Sánchez</w:t>
      </w:r>
    </w:p>
    <w:sectPr w:rsidR="001C5492" w:rsidSect="00F7114C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C70A0"/>
    <w:multiLevelType w:val="hybridMultilevel"/>
    <w:tmpl w:val="CF9AC10A"/>
    <w:lvl w:ilvl="0" w:tplc="2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21404725"/>
    <w:multiLevelType w:val="hybridMultilevel"/>
    <w:tmpl w:val="F2403A72"/>
    <w:lvl w:ilvl="0" w:tplc="2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D3C1A31"/>
    <w:multiLevelType w:val="hybridMultilevel"/>
    <w:tmpl w:val="C21AF566"/>
    <w:lvl w:ilvl="0" w:tplc="240A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356" w:hanging="360"/>
      </w:pPr>
    </w:lvl>
    <w:lvl w:ilvl="2" w:tplc="240A001B" w:tentative="1">
      <w:start w:val="1"/>
      <w:numFmt w:val="lowerRoman"/>
      <w:lvlText w:val="%3."/>
      <w:lvlJc w:val="right"/>
      <w:pPr>
        <w:ind w:left="3076" w:hanging="180"/>
      </w:pPr>
    </w:lvl>
    <w:lvl w:ilvl="3" w:tplc="240A000F" w:tentative="1">
      <w:start w:val="1"/>
      <w:numFmt w:val="decimal"/>
      <w:lvlText w:val="%4."/>
      <w:lvlJc w:val="left"/>
      <w:pPr>
        <w:ind w:left="3796" w:hanging="360"/>
      </w:pPr>
    </w:lvl>
    <w:lvl w:ilvl="4" w:tplc="240A0019" w:tentative="1">
      <w:start w:val="1"/>
      <w:numFmt w:val="lowerLetter"/>
      <w:lvlText w:val="%5."/>
      <w:lvlJc w:val="left"/>
      <w:pPr>
        <w:ind w:left="4516" w:hanging="360"/>
      </w:pPr>
    </w:lvl>
    <w:lvl w:ilvl="5" w:tplc="240A001B" w:tentative="1">
      <w:start w:val="1"/>
      <w:numFmt w:val="lowerRoman"/>
      <w:lvlText w:val="%6."/>
      <w:lvlJc w:val="right"/>
      <w:pPr>
        <w:ind w:left="5236" w:hanging="180"/>
      </w:pPr>
    </w:lvl>
    <w:lvl w:ilvl="6" w:tplc="240A000F" w:tentative="1">
      <w:start w:val="1"/>
      <w:numFmt w:val="decimal"/>
      <w:lvlText w:val="%7."/>
      <w:lvlJc w:val="left"/>
      <w:pPr>
        <w:ind w:left="5956" w:hanging="360"/>
      </w:pPr>
    </w:lvl>
    <w:lvl w:ilvl="7" w:tplc="240A0019" w:tentative="1">
      <w:start w:val="1"/>
      <w:numFmt w:val="lowerLetter"/>
      <w:lvlText w:val="%8."/>
      <w:lvlJc w:val="left"/>
      <w:pPr>
        <w:ind w:left="6676" w:hanging="360"/>
      </w:pPr>
    </w:lvl>
    <w:lvl w:ilvl="8" w:tplc="24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>
    <w:nsid w:val="2D4F6444"/>
    <w:multiLevelType w:val="hybridMultilevel"/>
    <w:tmpl w:val="3C4C9AA2"/>
    <w:lvl w:ilvl="0" w:tplc="BD062C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9059EA"/>
    <w:multiLevelType w:val="hybridMultilevel"/>
    <w:tmpl w:val="66B0E222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C0D0926"/>
    <w:multiLevelType w:val="hybridMultilevel"/>
    <w:tmpl w:val="25C8F0A8"/>
    <w:lvl w:ilvl="0" w:tplc="F260E2AA">
      <w:start w:val="1"/>
      <w:numFmt w:val="lowerLetter"/>
      <w:lvlText w:val="%1."/>
      <w:lvlJc w:val="left"/>
      <w:pPr>
        <w:ind w:left="360" w:hanging="360"/>
      </w:pPr>
      <w:rPr>
        <w:rFonts w:eastAsia="Arial"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EFF7577"/>
    <w:multiLevelType w:val="hybridMultilevel"/>
    <w:tmpl w:val="D49622D0"/>
    <w:lvl w:ilvl="0" w:tplc="2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FB966C9"/>
    <w:multiLevelType w:val="hybridMultilevel"/>
    <w:tmpl w:val="2CE0160E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8A81733"/>
    <w:multiLevelType w:val="hybridMultilevel"/>
    <w:tmpl w:val="5EC89DC4"/>
    <w:lvl w:ilvl="0" w:tplc="57CA5B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40" w:hanging="360"/>
      </w:pPr>
    </w:lvl>
    <w:lvl w:ilvl="2" w:tplc="240A001B" w:tentative="1">
      <w:start w:val="1"/>
      <w:numFmt w:val="lowerRoman"/>
      <w:lvlText w:val="%3."/>
      <w:lvlJc w:val="right"/>
      <w:pPr>
        <w:ind w:left="1860" w:hanging="180"/>
      </w:pPr>
    </w:lvl>
    <w:lvl w:ilvl="3" w:tplc="240A000F" w:tentative="1">
      <w:start w:val="1"/>
      <w:numFmt w:val="decimal"/>
      <w:lvlText w:val="%4."/>
      <w:lvlJc w:val="left"/>
      <w:pPr>
        <w:ind w:left="2580" w:hanging="360"/>
      </w:pPr>
    </w:lvl>
    <w:lvl w:ilvl="4" w:tplc="240A0019" w:tentative="1">
      <w:start w:val="1"/>
      <w:numFmt w:val="lowerLetter"/>
      <w:lvlText w:val="%5."/>
      <w:lvlJc w:val="left"/>
      <w:pPr>
        <w:ind w:left="3300" w:hanging="360"/>
      </w:pPr>
    </w:lvl>
    <w:lvl w:ilvl="5" w:tplc="240A001B" w:tentative="1">
      <w:start w:val="1"/>
      <w:numFmt w:val="lowerRoman"/>
      <w:lvlText w:val="%6."/>
      <w:lvlJc w:val="right"/>
      <w:pPr>
        <w:ind w:left="4020" w:hanging="180"/>
      </w:pPr>
    </w:lvl>
    <w:lvl w:ilvl="6" w:tplc="240A000F" w:tentative="1">
      <w:start w:val="1"/>
      <w:numFmt w:val="decimal"/>
      <w:lvlText w:val="%7."/>
      <w:lvlJc w:val="left"/>
      <w:pPr>
        <w:ind w:left="4740" w:hanging="360"/>
      </w:pPr>
    </w:lvl>
    <w:lvl w:ilvl="7" w:tplc="240A0019" w:tentative="1">
      <w:start w:val="1"/>
      <w:numFmt w:val="lowerLetter"/>
      <w:lvlText w:val="%8."/>
      <w:lvlJc w:val="left"/>
      <w:pPr>
        <w:ind w:left="5460" w:hanging="360"/>
      </w:pPr>
    </w:lvl>
    <w:lvl w:ilvl="8" w:tplc="2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4DB42590"/>
    <w:multiLevelType w:val="hybridMultilevel"/>
    <w:tmpl w:val="79CCE802"/>
    <w:lvl w:ilvl="0" w:tplc="C0366750">
      <w:start w:val="1"/>
      <w:numFmt w:val="bullet"/>
      <w:lvlText w:val="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FA701FC"/>
    <w:multiLevelType w:val="hybridMultilevel"/>
    <w:tmpl w:val="ADDE9AA6"/>
    <w:lvl w:ilvl="0" w:tplc="240A0001">
      <w:start w:val="1"/>
      <w:numFmt w:val="bullet"/>
      <w:lvlText w:val=""/>
      <w:lvlJc w:val="left"/>
      <w:pPr>
        <w:ind w:left="104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6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8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0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2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4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6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8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05" w:hanging="360"/>
      </w:pPr>
      <w:rPr>
        <w:rFonts w:ascii="Wingdings" w:hAnsi="Wingdings" w:hint="default"/>
      </w:rPr>
    </w:lvl>
  </w:abstractNum>
  <w:abstractNum w:abstractNumId="11">
    <w:nsid w:val="568032B3"/>
    <w:multiLevelType w:val="hybridMultilevel"/>
    <w:tmpl w:val="40B244BC"/>
    <w:lvl w:ilvl="0" w:tplc="2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6382EDA"/>
    <w:multiLevelType w:val="hybridMultilevel"/>
    <w:tmpl w:val="8D4079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A11A9A"/>
    <w:multiLevelType w:val="hybridMultilevel"/>
    <w:tmpl w:val="795EA19C"/>
    <w:lvl w:ilvl="0" w:tplc="C0366750">
      <w:start w:val="1"/>
      <w:numFmt w:val="bullet"/>
      <w:lvlText w:val="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D53D36"/>
    <w:multiLevelType w:val="hybridMultilevel"/>
    <w:tmpl w:val="87625842"/>
    <w:lvl w:ilvl="0" w:tplc="2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3AA168F"/>
    <w:multiLevelType w:val="hybridMultilevel"/>
    <w:tmpl w:val="06D6A5A4"/>
    <w:lvl w:ilvl="0" w:tplc="2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44C677F"/>
    <w:multiLevelType w:val="hybridMultilevel"/>
    <w:tmpl w:val="656E9B14"/>
    <w:lvl w:ilvl="0" w:tplc="C0366750">
      <w:start w:val="1"/>
      <w:numFmt w:val="bullet"/>
      <w:lvlText w:val="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6236A35"/>
    <w:multiLevelType w:val="hybridMultilevel"/>
    <w:tmpl w:val="153CF912"/>
    <w:lvl w:ilvl="0" w:tplc="AB44E6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10"/>
  </w:num>
  <w:num w:numId="4">
    <w:abstractNumId w:val="8"/>
  </w:num>
  <w:num w:numId="5">
    <w:abstractNumId w:val="12"/>
  </w:num>
  <w:num w:numId="6">
    <w:abstractNumId w:val="3"/>
  </w:num>
  <w:num w:numId="7">
    <w:abstractNumId w:val="0"/>
  </w:num>
  <w:num w:numId="8">
    <w:abstractNumId w:val="1"/>
  </w:num>
  <w:num w:numId="9">
    <w:abstractNumId w:val="6"/>
  </w:num>
  <w:num w:numId="10">
    <w:abstractNumId w:val="4"/>
  </w:num>
  <w:num w:numId="11">
    <w:abstractNumId w:val="13"/>
  </w:num>
  <w:num w:numId="12">
    <w:abstractNumId w:val="5"/>
  </w:num>
  <w:num w:numId="13">
    <w:abstractNumId w:val="11"/>
  </w:num>
  <w:num w:numId="14">
    <w:abstractNumId w:val="9"/>
  </w:num>
  <w:num w:numId="15">
    <w:abstractNumId w:val="7"/>
  </w:num>
  <w:num w:numId="16">
    <w:abstractNumId w:val="14"/>
  </w:num>
  <w:num w:numId="17">
    <w:abstractNumId w:val="15"/>
  </w:num>
  <w:num w:numId="18">
    <w:abstractNumId w:val="1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hyphenationZone w:val="425"/>
  <w:characterSpacingControl w:val="doNotCompress"/>
  <w:compat/>
  <w:rsids>
    <w:rsidRoot w:val="00EC0D2C"/>
    <w:rsid w:val="000809BD"/>
    <w:rsid w:val="00093F2E"/>
    <w:rsid w:val="00097D04"/>
    <w:rsid w:val="001C5492"/>
    <w:rsid w:val="00214A8F"/>
    <w:rsid w:val="0022013E"/>
    <w:rsid w:val="00283359"/>
    <w:rsid w:val="002A77B0"/>
    <w:rsid w:val="002B3582"/>
    <w:rsid w:val="002D74EA"/>
    <w:rsid w:val="00334052"/>
    <w:rsid w:val="003A52F1"/>
    <w:rsid w:val="003E4866"/>
    <w:rsid w:val="00433DD6"/>
    <w:rsid w:val="00434D7C"/>
    <w:rsid w:val="004728B5"/>
    <w:rsid w:val="00485D71"/>
    <w:rsid w:val="004E1D08"/>
    <w:rsid w:val="00501C45"/>
    <w:rsid w:val="00532EEA"/>
    <w:rsid w:val="00615F76"/>
    <w:rsid w:val="0065475C"/>
    <w:rsid w:val="006B7CFB"/>
    <w:rsid w:val="00706C6C"/>
    <w:rsid w:val="00732728"/>
    <w:rsid w:val="00747BE7"/>
    <w:rsid w:val="00781329"/>
    <w:rsid w:val="007C733D"/>
    <w:rsid w:val="008037E8"/>
    <w:rsid w:val="00821636"/>
    <w:rsid w:val="008564EB"/>
    <w:rsid w:val="008923A4"/>
    <w:rsid w:val="008B3F20"/>
    <w:rsid w:val="00973D92"/>
    <w:rsid w:val="00A05ED4"/>
    <w:rsid w:val="00A93577"/>
    <w:rsid w:val="00B1190D"/>
    <w:rsid w:val="00B45801"/>
    <w:rsid w:val="00BA0533"/>
    <w:rsid w:val="00C21FEC"/>
    <w:rsid w:val="00C2218C"/>
    <w:rsid w:val="00C34F20"/>
    <w:rsid w:val="00C36610"/>
    <w:rsid w:val="00C41B05"/>
    <w:rsid w:val="00C778A4"/>
    <w:rsid w:val="00CE54EA"/>
    <w:rsid w:val="00CF6F9F"/>
    <w:rsid w:val="00D51CC1"/>
    <w:rsid w:val="00D8190A"/>
    <w:rsid w:val="00E21813"/>
    <w:rsid w:val="00EA43C9"/>
    <w:rsid w:val="00EC0D2C"/>
    <w:rsid w:val="00EE0072"/>
    <w:rsid w:val="00EE27EE"/>
    <w:rsid w:val="00F0739F"/>
    <w:rsid w:val="00F1351C"/>
    <w:rsid w:val="00F1361F"/>
    <w:rsid w:val="00F232AF"/>
    <w:rsid w:val="00F44273"/>
    <w:rsid w:val="00F7114C"/>
    <w:rsid w:val="00FB1B1E"/>
    <w:rsid w:val="00FB20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7114C"/>
  </w:style>
  <w:style w:type="paragraph" w:styleId="Ttulo1">
    <w:name w:val="heading 1"/>
    <w:basedOn w:val="Normal"/>
    <w:next w:val="Normal"/>
    <w:rsid w:val="00F7114C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rsid w:val="00F7114C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rsid w:val="00F7114C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rsid w:val="00F7114C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rsid w:val="00F7114C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rsid w:val="00F7114C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F7114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F7114C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rsid w:val="00F7114C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rsid w:val="00F7114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F7114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706C6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41B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1B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4</Pages>
  <Words>865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Usuario4</dc:creator>
  <cp:lastModifiedBy>PC04</cp:lastModifiedBy>
  <cp:revision>31</cp:revision>
  <dcterms:created xsi:type="dcterms:W3CDTF">2017-07-13T21:56:00Z</dcterms:created>
  <dcterms:modified xsi:type="dcterms:W3CDTF">2018-09-18T23:33:00Z</dcterms:modified>
</cp:coreProperties>
</file>